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header3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ind w:left="4678" w:hanging="0"/>
        <w:jc w:val="right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Приложение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 </w:t>
      </w:r>
    </w:p>
    <w:p>
      <w:pPr>
        <w:pStyle w:val="ConsPlusNormal"/>
        <w:ind w:left="4678" w:hanging="0"/>
        <w:jc w:val="right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Утверждена</w:t>
      </w:r>
    </w:p>
    <w:p>
      <w:pPr>
        <w:pStyle w:val="Normal"/>
        <w:bidi w:val="0"/>
        <w:spacing w:lineRule="auto" w:line="240" w:before="0" w:after="0"/>
        <w:jc w:val="right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постановлением</w:t>
      </w:r>
    </w:p>
    <w:p>
      <w:pPr>
        <w:pStyle w:val="Normal"/>
        <w:bidi w:val="0"/>
        <w:spacing w:lineRule="auto" w:line="240" w:before="0" w:after="0"/>
        <w:jc w:val="right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Администрации</w:t>
      </w:r>
    </w:p>
    <w:p>
      <w:pPr>
        <w:pStyle w:val="Normal"/>
        <w:bidi w:val="0"/>
        <w:spacing w:lineRule="auto" w:line="240" w:before="0" w:after="0"/>
        <w:jc w:val="right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 xml:space="preserve">Красносельского муниципального района </w:t>
      </w:r>
    </w:p>
    <w:p>
      <w:pPr>
        <w:pStyle w:val="Normal"/>
        <w:bidi w:val="0"/>
        <w:spacing w:lineRule="auto" w:line="240" w:before="0" w:after="0"/>
        <w:jc w:val="right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Костромской области</w:t>
      </w:r>
    </w:p>
    <w:p>
      <w:pPr>
        <w:pStyle w:val="Normal"/>
        <w:bidi w:val="0"/>
        <w:spacing w:lineRule="auto" w:line="240" w:before="0" w:after="0"/>
        <w:jc w:val="right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от «    »_____ 2025 года №</w:t>
      </w:r>
      <w:r>
        <w:rPr>
          <w:rFonts w:eastAsia="Times New Roman" w:cs="Times New Roman" w:ascii="PT Astra Sans" w:hAnsi="PT Astra Sans"/>
          <w:color w:val="000000"/>
          <w:sz w:val="24"/>
          <w:szCs w:val="24"/>
          <w:u w:val="single"/>
          <w:lang w:eastAsia="ru-RU"/>
        </w:rPr>
        <w:t xml:space="preserve">      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 xml:space="preserve">    </w:t>
      </w:r>
    </w:p>
    <w:p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Title"/>
        <w:jc w:val="center"/>
        <w:rPr>
          <w:rFonts w:ascii="Times New Roman" w:hAnsi="Times New Roman" w:cs="Times New Roman"/>
          <w:b w:val="false"/>
          <w:sz w:val="28"/>
          <w:szCs w:val="28"/>
        </w:rPr>
      </w:pPr>
      <w:bookmarkStart w:id="0" w:name="Par30"/>
      <w:bookmarkEnd w:id="0"/>
      <w:r>
        <w:rPr>
          <w:rFonts w:cs="Times New Roman" w:ascii="PT Astra Sans" w:hAnsi="PT Astra Sans"/>
          <w:b w:val="false"/>
          <w:sz w:val="28"/>
          <w:szCs w:val="28"/>
        </w:rPr>
        <w:t>МУНИЦИПАЛЬНАЯ ПРОГРАММА</w:t>
      </w:r>
    </w:p>
    <w:p>
      <w:pPr>
        <w:pStyle w:val="ConsPlusTitle"/>
        <w:jc w:val="center"/>
        <w:rPr>
          <w:rFonts w:ascii="PT Astra Sans" w:hAnsi="PT Astra Sans"/>
        </w:rPr>
      </w:pPr>
      <w:r>
        <w:rPr>
          <w:rFonts w:cs="Times New Roman" w:ascii="PT Astra Sans" w:hAnsi="PT Astra Sans"/>
          <w:b w:val="false"/>
          <w:sz w:val="28"/>
          <w:szCs w:val="28"/>
        </w:rPr>
        <w:t>«Обеспечение молниезащиты территории Красносельского муниципального района  Костромской области</w:t>
      </w:r>
    </w:p>
    <w:p>
      <w:pPr>
        <w:pStyle w:val="ConsPlusNormal"/>
        <w:jc w:val="both"/>
        <w:rPr>
          <w:rFonts w:ascii="PT Astra Sans" w:hAnsi="PT Astra Sans" w:cs="Times New Roman"/>
          <w:b/>
          <w:sz w:val="28"/>
          <w:szCs w:val="28"/>
        </w:rPr>
      </w:pPr>
      <w:r>
        <w:rPr>
          <w:rFonts w:cs="Times New Roman" w:ascii="PT Astra Sans" w:hAnsi="PT Astra Sans"/>
          <w:b/>
          <w:sz w:val="28"/>
          <w:szCs w:val="28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1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PT Astra Sans" w:hAnsi="PT Astra Sans"/>
          <w:b w:val="false"/>
          <w:sz w:val="24"/>
          <w:szCs w:val="24"/>
        </w:rPr>
        <w:t>Раздел I. Паспорт муниципальной программы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1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b w:val="false"/>
          <w:sz w:val="24"/>
          <w:szCs w:val="24"/>
        </w:rPr>
        <w:t xml:space="preserve"> </w:t>
      </w:r>
      <w:r>
        <w:rPr>
          <w:rFonts w:cs="Times New Roman" w:ascii="PT Astra Sans" w:hAnsi="PT Astra Sans"/>
          <w:b w:val="false"/>
          <w:sz w:val="24"/>
          <w:szCs w:val="24"/>
        </w:rPr>
        <w:t>«Обеспечение молниезащиты территории Красносельского муниципального района  Костромской области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1"/>
        <w:rPr>
          <w:rFonts w:ascii="PT Astra Sans" w:hAnsi="PT Astra Sans" w:cs="Times New Roman"/>
          <w:b w:val="false"/>
          <w:sz w:val="24"/>
          <w:szCs w:val="24"/>
        </w:rPr>
      </w:pPr>
      <w:r>
        <w:rPr>
          <w:rFonts w:cs="Times New Roman" w:ascii="PT Astra Sans" w:hAnsi="PT Astra Sans"/>
          <w:b w:val="false"/>
          <w:sz w:val="24"/>
          <w:szCs w:val="24"/>
        </w:rPr>
      </w:r>
    </w:p>
    <w:tbl>
      <w:tblPr>
        <w:tblW w:w="9072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2381"/>
        <w:gridCol w:w="6095"/>
      </w:tblGrid>
      <w:tr>
        <w:trPr/>
        <w:tc>
          <w:tcPr>
            <w:tcW w:w="596" w:type="dxa"/>
            <w:tcBorders/>
          </w:tcPr>
          <w:p>
            <w:pPr>
              <w:pStyle w:val="ConsPlus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rFonts w:ascii="PT Astra Sans" w:hAnsi="PT Astra Sans"/>
                <w:sz w:val="24"/>
                <w:szCs w:val="24"/>
              </w:rPr>
              <w:t>1.</w:t>
            </w:r>
          </w:p>
        </w:tc>
        <w:tc>
          <w:tcPr>
            <w:tcW w:w="2381" w:type="dxa"/>
            <w:tcBorders/>
          </w:tcPr>
          <w:p>
            <w:pPr>
              <w:pStyle w:val="ConsPlusNorma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Основание разработки и реализации муниципальной программы «Обеспечение молниезащиты территории </w:t>
            </w:r>
            <w:r>
              <w:rPr>
                <w:rFonts w:cs="Times New Roman" w:ascii="PT Astra Sans" w:hAnsi="PT Astra Sans"/>
                <w:b w:val="false"/>
                <w:sz w:val="24"/>
                <w:szCs w:val="24"/>
              </w:rPr>
              <w:t>Красносельского муниципального района  Костромской области</w:t>
            </w:r>
            <w:r>
              <w:rPr>
                <w:rFonts w:ascii="PT Astra Sans" w:hAnsi="PT Astra Sans"/>
                <w:sz w:val="24"/>
                <w:szCs w:val="24"/>
              </w:rPr>
              <w:t xml:space="preserve"> (далее – муниципальная программа)</w:t>
            </w:r>
          </w:p>
        </w:tc>
        <w:tc>
          <w:tcPr>
            <w:tcW w:w="6095" w:type="dxa"/>
            <w:tcBorders/>
          </w:tcPr>
          <w:p>
            <w:pPr>
              <w:pStyle w:val="ConsPlusNormal"/>
              <w:widowControl w:val="false"/>
              <w:numPr>
                <w:ilvl w:val="0"/>
                <w:numId w:val="2"/>
              </w:numPr>
              <w:ind w:left="34" w:hanging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Жилищный кодекс Российской Федерации;</w:t>
            </w:r>
          </w:p>
          <w:p>
            <w:pPr>
              <w:pStyle w:val="ConsPlusNormal"/>
              <w:widowControl w:val="false"/>
              <w:numPr>
                <w:ilvl w:val="0"/>
                <w:numId w:val="2"/>
              </w:numPr>
              <w:ind w:left="34" w:hanging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ГОСТ Р 59789-2021 (МЭК 62305-3:2010) «Национальный стандарт Российской Федерации. Молниезащита. Часть 3. Защита зданий и сооружений от повреждений и защита людей и животных от электротравматизма», утвержденный приказом Федерального агентства по техническому регулированию и метрологии от 22 октября 2021 года № 1266-ст;</w:t>
            </w:r>
          </w:p>
          <w:p>
            <w:pPr>
              <w:pStyle w:val="ConsPlusNormal"/>
              <w:widowControl w:val="false"/>
              <w:numPr>
                <w:ilvl w:val="0"/>
                <w:numId w:val="2"/>
              </w:numPr>
              <w:ind w:left="34" w:hanging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РД 34.21.122-87 «Инструкция по устройству молниезащиты зданий и сооружений»</w:t>
            </w:r>
          </w:p>
          <w:p>
            <w:pPr>
              <w:pStyle w:val="ConsPlusNormal"/>
              <w:widowControl w:val="false"/>
              <w:ind w:left="34" w:hanging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</w:tr>
      <w:tr>
        <w:trPr/>
        <w:tc>
          <w:tcPr>
            <w:tcW w:w="596" w:type="dxa"/>
            <w:tcBorders/>
          </w:tcPr>
          <w:p>
            <w:pPr>
              <w:pStyle w:val="ConsPlus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rFonts w:ascii="PT Astra Sans" w:hAnsi="PT Astra Sans"/>
                <w:sz w:val="24"/>
                <w:szCs w:val="24"/>
              </w:rPr>
              <w:t>2.</w:t>
            </w:r>
          </w:p>
        </w:tc>
        <w:tc>
          <w:tcPr>
            <w:tcW w:w="2381" w:type="dxa"/>
            <w:tcBorders/>
          </w:tcPr>
          <w:p>
            <w:pPr>
              <w:pStyle w:val="ConsPlus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rFonts w:ascii="PT Astra Sans" w:hAnsi="PT Astra Sans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95" w:type="dxa"/>
            <w:tcBorders/>
          </w:tcPr>
          <w:p>
            <w:pPr>
              <w:pStyle w:val="ConsPlus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Администрация </w:t>
            </w:r>
            <w:r>
              <w:rPr>
                <w:rFonts w:cs="Times New Roman" w:ascii="PT Astra Sans" w:hAnsi="PT Astra Sans"/>
                <w:b w:val="false"/>
                <w:sz w:val="24"/>
                <w:szCs w:val="24"/>
              </w:rPr>
              <w:t>Красносельского муниципального района  Костромской области</w:t>
            </w:r>
          </w:p>
        </w:tc>
      </w:tr>
      <w:tr>
        <w:trPr/>
        <w:tc>
          <w:tcPr>
            <w:tcW w:w="596" w:type="dxa"/>
            <w:tcBorders/>
          </w:tcPr>
          <w:p>
            <w:pPr>
              <w:pStyle w:val="ConsPlus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rFonts w:ascii="PT Astra Sans" w:hAnsi="PT Astra Sans"/>
                <w:sz w:val="24"/>
                <w:szCs w:val="24"/>
              </w:rPr>
              <w:t>3.</w:t>
            </w:r>
          </w:p>
        </w:tc>
        <w:tc>
          <w:tcPr>
            <w:tcW w:w="2381" w:type="dxa"/>
            <w:tcBorders/>
          </w:tcPr>
          <w:p>
            <w:pPr>
              <w:pStyle w:val="ConsPlus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095" w:type="dxa"/>
            <w:tcBorders/>
          </w:tcPr>
          <w:p>
            <w:pPr>
              <w:pStyle w:val="ConsPlus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Муниципальные учреждения </w:t>
            </w:r>
            <w:r>
              <w:rPr>
                <w:rFonts w:cs="Times New Roman" w:ascii="PT Astra Sans" w:hAnsi="PT Astra Sans"/>
                <w:b w:val="false"/>
                <w:sz w:val="24"/>
                <w:szCs w:val="24"/>
              </w:rPr>
              <w:t>Красносельского муниципального района  Костромской области,</w:t>
            </w:r>
          </w:p>
          <w:p>
            <w:pPr>
              <w:pStyle w:val="ConsPlus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rFonts w:ascii="PT Astra Sans" w:hAnsi="PT Astra Sans"/>
                <w:sz w:val="24"/>
                <w:szCs w:val="24"/>
              </w:rPr>
              <w:t>Управляющие многоквартирными домами организации</w:t>
            </w:r>
          </w:p>
        </w:tc>
      </w:tr>
      <w:tr>
        <w:trPr/>
        <w:tc>
          <w:tcPr>
            <w:tcW w:w="596" w:type="dxa"/>
            <w:tcBorders/>
          </w:tcPr>
          <w:p>
            <w:pPr>
              <w:pStyle w:val="ConsPlus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rFonts w:ascii="PT Astra Sans" w:hAnsi="PT Astra Sans"/>
                <w:sz w:val="24"/>
                <w:szCs w:val="24"/>
              </w:rPr>
              <w:t>4.</w:t>
            </w:r>
          </w:p>
        </w:tc>
        <w:tc>
          <w:tcPr>
            <w:tcW w:w="2381" w:type="dxa"/>
            <w:tcBorders/>
          </w:tcPr>
          <w:p>
            <w:pPr>
              <w:pStyle w:val="ConsPlus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rFonts w:ascii="PT Astra Sans" w:hAnsi="PT Astra Sans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6095" w:type="dxa"/>
            <w:tcBorders/>
          </w:tcPr>
          <w:p>
            <w:pPr>
              <w:pStyle w:val="ConsPlus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Администрация </w:t>
            </w:r>
            <w:r>
              <w:rPr>
                <w:rFonts w:cs="Times New Roman" w:ascii="PT Astra Sans" w:hAnsi="PT Astra Sans"/>
                <w:b w:val="false"/>
                <w:sz w:val="24"/>
                <w:szCs w:val="24"/>
              </w:rPr>
              <w:t>Красносельского муниципального района  Костромской области,</w:t>
            </w:r>
            <w:r>
              <w:rPr>
                <w:rFonts w:ascii="PT Astra Sans" w:hAnsi="PT Astra Sans"/>
                <w:sz w:val="24"/>
                <w:szCs w:val="24"/>
              </w:rPr>
              <w:t xml:space="preserve">  управляющие многоквартирными домами организации, собственники помещений в многоквартирных домах, расположенных на территории </w:t>
            </w:r>
            <w:r>
              <w:rPr>
                <w:rFonts w:cs="Times New Roman" w:ascii="PT Astra Sans" w:hAnsi="PT Astra Sans"/>
                <w:b w:val="false"/>
                <w:sz w:val="24"/>
                <w:szCs w:val="24"/>
              </w:rPr>
              <w:t>Красносельского муниципального района  Костромской области</w:t>
            </w:r>
          </w:p>
          <w:p>
            <w:pPr>
              <w:pStyle w:val="ConsPlus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</w:tr>
      <w:tr>
        <w:trPr/>
        <w:tc>
          <w:tcPr>
            <w:tcW w:w="596" w:type="dxa"/>
            <w:tcBorders/>
          </w:tcPr>
          <w:p>
            <w:pPr>
              <w:pStyle w:val="ConsPlus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rFonts w:ascii="PT Astra Sans" w:hAnsi="PT Astra Sans"/>
                <w:sz w:val="24"/>
                <w:szCs w:val="24"/>
              </w:rPr>
              <w:t>5.</w:t>
            </w:r>
          </w:p>
        </w:tc>
        <w:tc>
          <w:tcPr>
            <w:tcW w:w="2381" w:type="dxa"/>
            <w:tcBorders/>
          </w:tcPr>
          <w:p>
            <w:pPr>
              <w:pStyle w:val="ConsPlus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6095" w:type="dxa"/>
            <w:tcBorders/>
          </w:tcPr>
          <w:p>
            <w:pPr>
              <w:pStyle w:val="ConsPlus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rFonts w:ascii="PT Astra Sans" w:hAnsi="PT Astra Sans"/>
                <w:sz w:val="24"/>
                <w:szCs w:val="24"/>
              </w:rPr>
              <w:t>2025 – 2027 годы</w:t>
            </w:r>
          </w:p>
        </w:tc>
      </w:tr>
    </w:tbl>
    <w:p>
      <w:pPr>
        <w:pStyle w:val="ConsPlusNormal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1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b w:val="false"/>
          <w:sz w:val="24"/>
          <w:szCs w:val="24"/>
        </w:rPr>
        <w:t>Раздел II. Общие положения муниципальной программы</w:t>
      </w:r>
    </w:p>
    <w:p>
      <w:pPr>
        <w:pStyle w:val="ConsPlusNormal"/>
        <w:ind w:firstLine="709"/>
        <w:jc w:val="both"/>
        <w:rPr>
          <w:rFonts w:ascii="PT Astra Sans" w:hAnsi="PT Astra Sans" w:cs="Times New Roman"/>
          <w:b/>
          <w:sz w:val="24"/>
          <w:szCs w:val="24"/>
        </w:rPr>
      </w:pPr>
      <w:r>
        <w:rPr>
          <w:rFonts w:cs="Times New Roman" w:ascii="PT Astra Sans" w:hAnsi="PT Astra Sans"/>
          <w:b/>
          <w:sz w:val="24"/>
          <w:szCs w:val="24"/>
        </w:rPr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ascii="PT Astra Sans" w:hAnsi="PT Astra Sans"/>
          <w:sz w:val="24"/>
          <w:szCs w:val="24"/>
        </w:rPr>
        <w:t>6. Муниципальная программа разработана в соответствии с Жилищным кодексом Российской Федерации, РД 34.21.122-87 «Инструкция по устройству молниезащиты зданий и сооружений», ГОСТ Р 59789-2021 (МЭК 62305-3:2010) «Национальный стандарт Российской Федерации. Молниезащита. Часть 3. Защита зданий и сооружений от повреждений и защита людей и животных от электротравматизма», которые определяют необходимость обеспечения безопасности зданий, сооружений.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ascii="PT Astra Sans" w:hAnsi="PT Astra Sans"/>
          <w:sz w:val="24"/>
          <w:szCs w:val="24"/>
        </w:rPr>
        <w:t>7. Термины и определения, используемые в настоящей муниципальной программе, применяются в значении, определенном ГОСТ Р 59789-2021 (МЭК 62305-3:2010) «Национальный стандарт Российской Федерации. Молниезащита. Часть 3. Защита зданий и сооружений от повреждений и защита людей и животных от электротравматизма».</w:t>
      </w:r>
    </w:p>
    <w:p>
      <w:pPr>
        <w:pStyle w:val="ConsPlusNormal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8. Непосредственное опасное воздействие молнии – пожары, механические повреждения, травмы людей и животных, а также повреждения электрического и электронного оборудования.</w:t>
      </w:r>
    </w:p>
    <w:p>
      <w:pPr>
        <w:pStyle w:val="ConsPlusNormal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9. Основной и наиболее эффективной мерой защиты от внутренних и внешних повреждений из-за воздействия молнии,</w:t>
      </w:r>
      <w:r>
        <w:rPr>
          <w:rFonts w:eastAsia="Times New Roman" w:ascii="PT Astra Sans" w:hAnsi="PT Astra Sans"/>
          <w:sz w:val="24"/>
          <w:szCs w:val="24"/>
        </w:rPr>
        <w:t xml:space="preserve"> </w:t>
      </w:r>
      <w:r>
        <w:rPr>
          <w:rFonts w:ascii="PT Astra Sans" w:hAnsi="PT Astra Sans"/>
          <w:sz w:val="24"/>
          <w:szCs w:val="24"/>
        </w:rPr>
        <w:t>снижения опасности поражения молнией зданий и сооружений является система молниезащиты (далее – СМЗ): внешняя и внутренняя.</w:t>
      </w:r>
    </w:p>
    <w:p>
      <w:pPr>
        <w:pStyle w:val="ConsPlusNormal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Внешняя СМЗ состоит из молниеприемников, токоотводов и заземляющего устройства.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ascii="PT Astra Sans" w:hAnsi="PT Astra Sans"/>
          <w:sz w:val="24"/>
          <w:szCs w:val="24"/>
        </w:rPr>
        <w:t>Внутренняя СМЗ обеспечивает уравнивание потенциалов и электрическую изоляцию между компонентами внешней СМЗ и другими электропроводящими частями внутри здания или сооружения, предотвращая опасное искрение.</w:t>
      </w:r>
    </w:p>
    <w:p>
      <w:pPr>
        <w:pStyle w:val="ConsPlusNormal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PT Astra Sans" w:hAnsi="PT Astra Sans"/>
          <w:sz w:val="24"/>
          <w:szCs w:val="24"/>
        </w:rPr>
        <w:t>Раздел III. Цели и задачи муниципальной программы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ans" w:hAnsi="PT Astra Sans" w:cs="Times New Roman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PT Astra Sans" w:hAnsi="PT Astra Sans"/>
          <w:sz w:val="24"/>
          <w:szCs w:val="24"/>
        </w:rPr>
        <w:t>10. Целью реализации Муниципальной программы является обеспечение инженерной защищенности граждан, зданий и сооружений в населенных пунктах муниципального образования Костромской области при воздействии молнии.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PT Astra Sans" w:hAnsi="PT Astra Sans"/>
          <w:sz w:val="24"/>
          <w:szCs w:val="24"/>
        </w:rPr>
        <w:t>11. Для достижения цели предусматривается выполнение следующих задач: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 xml:space="preserve">1) проведение информационно-просветительской кампании в целях популяризации обустройства зданий и сооружений СМЗ независимо от форм собственности на территории </w:t>
      </w:r>
      <w:r>
        <w:rPr>
          <w:rFonts w:cs="Times New Roman" w:ascii="PT Astra Sans" w:hAnsi="PT Astra Sans"/>
          <w:b w:val="false"/>
          <w:sz w:val="24"/>
          <w:szCs w:val="24"/>
        </w:rPr>
        <w:t>Красносельского муниципального района  Костромской области</w:t>
      </w:r>
      <w:r>
        <w:rPr>
          <w:rFonts w:cs="Times New Roman" w:ascii="PT Astra Sans" w:hAnsi="PT Astra Sans"/>
          <w:sz w:val="24"/>
          <w:szCs w:val="24"/>
        </w:rPr>
        <w:t xml:space="preserve"> ;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>2) обустройство СМЗ на объектах, собственником которых выступает муниципальное образование Костромской области;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 xml:space="preserve">3) обустройство, ремонт СМЗ многоквартирных домов, расположенных на территории </w:t>
      </w:r>
      <w:r>
        <w:rPr>
          <w:rFonts w:cs="Times New Roman" w:ascii="PT Astra Sans" w:hAnsi="PT Astra Sans"/>
          <w:b w:val="false"/>
          <w:sz w:val="24"/>
          <w:szCs w:val="24"/>
        </w:rPr>
        <w:t>Красносельского муниципального района  Костромской области</w:t>
      </w:r>
      <w:r>
        <w:rPr>
          <w:rFonts w:cs="Times New Roman" w:ascii="PT Astra Sans" w:hAnsi="PT Astra Sans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PT Astra Sans" w:hAnsi="PT Astra Sans"/>
          <w:sz w:val="24"/>
          <w:szCs w:val="24"/>
        </w:rPr>
        <w:t>12. Целевыми показателями решения задач являются: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 xml:space="preserve">1) информирование собственников зданий и сооружений на территории </w:t>
      </w:r>
      <w:r>
        <w:rPr>
          <w:rFonts w:cs="Times New Roman" w:ascii="PT Astra Sans" w:hAnsi="PT Astra Sans"/>
          <w:b w:val="false"/>
          <w:sz w:val="24"/>
          <w:szCs w:val="24"/>
        </w:rPr>
        <w:t>Красносельского муниципального района  Костромской области</w:t>
      </w:r>
      <w:r>
        <w:rPr>
          <w:rFonts w:cs="Times New Roman" w:ascii="PT Astra Sans" w:hAnsi="PT Astra Sans"/>
          <w:sz w:val="24"/>
          <w:szCs w:val="24"/>
        </w:rPr>
        <w:t xml:space="preserve"> о способах защиты зданий и сооружений от воздействия молнии, необходимости периодической проверки состояния системы молиниезащиты;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 xml:space="preserve">2) количество многоквартирных домов, расположенных на территории </w:t>
      </w:r>
      <w:r>
        <w:rPr>
          <w:rFonts w:cs="Times New Roman" w:ascii="PT Astra Sans" w:hAnsi="PT Astra Sans"/>
          <w:b w:val="false"/>
          <w:sz w:val="24"/>
          <w:szCs w:val="24"/>
        </w:rPr>
        <w:t>Красносельского муниципального района  Костромской области</w:t>
      </w:r>
      <w:r>
        <w:rPr>
          <w:rFonts w:cs="Times New Roman" w:ascii="PT Astra Sans" w:hAnsi="PT Astra Sans"/>
          <w:sz w:val="24"/>
          <w:szCs w:val="24"/>
        </w:rPr>
        <w:t xml:space="preserve">, оснащенных внешней СМЗ; 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 xml:space="preserve">3) количество муниципальных объектов социального назначения в населенных пунктах </w:t>
      </w:r>
      <w:r>
        <w:rPr>
          <w:rFonts w:cs="Times New Roman" w:ascii="PT Astra Sans" w:hAnsi="PT Astra Sans"/>
          <w:b w:val="false"/>
          <w:sz w:val="24"/>
          <w:szCs w:val="24"/>
        </w:rPr>
        <w:t>Красносельского муниципального района  Костромской области</w:t>
      </w:r>
      <w:r>
        <w:rPr>
          <w:rFonts w:cs="Times New Roman" w:ascii="PT Astra Sans" w:hAnsi="PT Astra Sans"/>
          <w:sz w:val="24"/>
          <w:szCs w:val="24"/>
        </w:rPr>
        <w:t>, оснащенных внешней СМЗ;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PT Astra Sans" w:hAnsi="PT Astra Sans"/>
          <w:sz w:val="24"/>
          <w:szCs w:val="24"/>
        </w:rPr>
        <w:t>13. Результатом реализации Муниципальной программы является снижение количества зданий и сооружений, поврежденных в результате попадания прямого молниевого разряда при прохождении грозового фронта.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PT Astra Sans" w:hAnsi="PT Astra Sans"/>
          <w:sz w:val="24"/>
          <w:szCs w:val="24"/>
        </w:rPr>
        <w:t>14. Муниципальная программа будет реализована в 2025 – 2027 годах. Выделение этапов в реализации муниципальной программы не предусматривается.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ans" w:hAnsi="PT Astra Sans" w:cs="Times New Roman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PT Astra Sans" w:hAnsi="PT Astra Sans"/>
          <w:sz w:val="24"/>
          <w:szCs w:val="24"/>
        </w:rPr>
        <w:t>Раздел IV. Реализация муниципальной программы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ans" w:hAnsi="PT Astra Sans" w:cs="Times New Roman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PT Astra Sans" w:hAnsi="PT Astra Sans"/>
          <w:sz w:val="24"/>
          <w:szCs w:val="24"/>
        </w:rPr>
        <w:t>15. В целях достижения задач муниципальной программы планируется реализовать план мероприятий муниципальной программы (приложение к муниципальной программе).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 xml:space="preserve">16. Администрация </w:t>
      </w:r>
      <w:r>
        <w:rPr>
          <w:rFonts w:cs="Times New Roman" w:ascii="PT Astra Sans" w:hAnsi="PT Astra Sans"/>
          <w:b w:val="false"/>
          <w:sz w:val="24"/>
          <w:szCs w:val="24"/>
        </w:rPr>
        <w:t>Красносельского муниципального района  Костромской области</w:t>
      </w:r>
      <w:r>
        <w:rPr>
          <w:rFonts w:cs="Times New Roman" w:ascii="PT Astra Sans" w:hAnsi="PT Astra Sans"/>
          <w:sz w:val="24"/>
          <w:szCs w:val="24"/>
        </w:rPr>
        <w:t xml:space="preserve"> осуществляет: 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 xml:space="preserve">1) координацию деятельности муниципальных учреждений и собственников многоквартирных домов, расположенных на территории </w:t>
      </w:r>
      <w:r>
        <w:rPr>
          <w:rFonts w:cs="Times New Roman" w:ascii="PT Astra Sans" w:hAnsi="PT Astra Sans"/>
          <w:b w:val="false"/>
          <w:sz w:val="24"/>
          <w:szCs w:val="24"/>
        </w:rPr>
        <w:t>Красносельского муниципального района  Костромской области</w:t>
      </w:r>
      <w:r>
        <w:rPr>
          <w:rFonts w:cs="Times New Roman" w:ascii="PT Astra Sans" w:hAnsi="PT Astra Sans"/>
          <w:sz w:val="24"/>
          <w:szCs w:val="24"/>
        </w:rPr>
        <w:t xml:space="preserve"> по реализации плана мероприятий муниципальной программы;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PT Astra Sans" w:hAnsi="PT Astra Sans"/>
          <w:sz w:val="24"/>
          <w:szCs w:val="24"/>
        </w:rPr>
        <w:t xml:space="preserve">2) руководство муниципальной программой.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 xml:space="preserve">17.  Администрация </w:t>
      </w:r>
      <w:r>
        <w:rPr>
          <w:rFonts w:cs="Times New Roman" w:ascii="PT Astra Sans" w:hAnsi="PT Astra Sans"/>
          <w:b w:val="false"/>
          <w:sz w:val="24"/>
          <w:szCs w:val="24"/>
        </w:rPr>
        <w:t>Красносельского муниципального района  Костромской области</w:t>
      </w:r>
      <w:r>
        <w:rPr>
          <w:rFonts w:cs="Times New Roman" w:ascii="PT Astra Sans" w:hAnsi="PT Astra Sans"/>
          <w:sz w:val="24"/>
          <w:szCs w:val="24"/>
        </w:rPr>
        <w:t xml:space="preserve"> в ходе выполнения муниципальной программы: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PT Astra Sans" w:hAnsi="PT Astra Sans"/>
          <w:sz w:val="24"/>
          <w:szCs w:val="24"/>
        </w:rPr>
        <w:t>1) обеспечивает реализацию плана мероприятий муниципальной программы по направлениям своей деятельности;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>5) осуществляет подготовку сводного годового отчета о реализации муниципальной программы.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PT Astra Sans" w:hAnsi="PT Astra Sans"/>
          <w:sz w:val="24"/>
          <w:szCs w:val="24"/>
        </w:rPr>
        <w:t>18. Соисполнители муниципальной программы: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>1) обеспечивают реализацию плана мероприятий муниципальной программы по направлениям своей деятельности;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 xml:space="preserve">2) ежегодно, в срок до 1 марта года, следующего за отчетным, направляют в администрацию </w:t>
      </w:r>
      <w:r>
        <w:rPr>
          <w:rFonts w:cs="Times New Roman" w:ascii="PT Astra Sans" w:hAnsi="PT Astra Sans"/>
          <w:b w:val="false"/>
          <w:sz w:val="24"/>
          <w:szCs w:val="24"/>
        </w:rPr>
        <w:t>Красносельского муниципального района  Костромской области</w:t>
      </w:r>
      <w:r>
        <w:rPr>
          <w:rFonts w:cs="Times New Roman" w:ascii="PT Astra Sans" w:hAnsi="PT Astra Sans"/>
          <w:sz w:val="24"/>
          <w:szCs w:val="24"/>
        </w:rPr>
        <w:t xml:space="preserve"> годовой отчет о реализации плана мероприятий муниципальной программы.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ans" w:hAnsi="PT Astra Sans" w:cs="Times New Roman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PT Astra Sans" w:hAnsi="PT Astra Sans"/>
          <w:sz w:val="24"/>
          <w:szCs w:val="24"/>
        </w:rPr>
        <w:t>Раздел V. Мониторинг и оценка реализации муниципальной программы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ans" w:hAnsi="PT Astra Sans" w:cs="Times New Roman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 xml:space="preserve">19. Мониторинг и оценка реализации муниципальной программы осуществляются 1 раз в год администрацией </w:t>
      </w:r>
      <w:r>
        <w:rPr>
          <w:rFonts w:cs="Times New Roman" w:ascii="PT Astra Sans" w:hAnsi="PT Astra Sans"/>
          <w:b w:val="false"/>
          <w:sz w:val="24"/>
          <w:szCs w:val="24"/>
        </w:rPr>
        <w:t xml:space="preserve">Красносельского муниципального района  Костромской области </w:t>
      </w:r>
      <w:r>
        <w:rPr>
          <w:rFonts w:cs="Times New Roman" w:ascii="PT Astra Sans" w:hAnsi="PT Astra Sans"/>
          <w:sz w:val="24"/>
          <w:szCs w:val="24"/>
        </w:rPr>
        <w:t>и представляют собой механизм оценки результативности выполнения мероприятий муниципальной программы и определения эффективности ее мероприятий с целью принятия в случае необходимости своевременных решений о внесении изменений в муниципальной программу.</w:t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559" w:right="1276" w:gutter="0" w:header="709" w:top="1134" w:footer="0" w:bottom="1134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spacing w:lineRule="auto" w:line="240" w:before="0" w:after="0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>20. Оценка результативности выполнения мероприятий муниципальной программы осуществляется на основе годовых  отчетов о реализации плана мероприятий муниципальной программы ее участников.</w:t>
      </w:r>
    </w:p>
    <w:p>
      <w:pPr>
        <w:pStyle w:val="Normal"/>
        <w:spacing w:lineRule="auto" w:line="240" w:before="0" w:after="0"/>
        <w:ind w:left="10065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PT Astra Sans" w:hAnsi="PT Astra Sans"/>
          <w:sz w:val="24"/>
          <w:szCs w:val="24"/>
        </w:rPr>
        <w:t>Приложение</w:t>
      </w:r>
    </w:p>
    <w:p>
      <w:pPr>
        <w:pStyle w:val="Normal"/>
        <w:spacing w:lineRule="auto" w:line="240" w:before="0" w:after="0"/>
        <w:ind w:left="10065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PT Astra Sans" w:hAnsi="PT Astra Sans"/>
          <w:sz w:val="24"/>
          <w:szCs w:val="24"/>
        </w:rPr>
        <w:t>к муниципальной программе</w:t>
      </w:r>
    </w:p>
    <w:p>
      <w:pPr>
        <w:pStyle w:val="Normal"/>
        <w:spacing w:lineRule="auto" w:line="240" w:before="0" w:after="0"/>
        <w:ind w:left="10065" w:hanging="0"/>
        <w:jc w:val="center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 xml:space="preserve">«Обеспечение молниезащиты территории </w:t>
      </w:r>
      <w:r>
        <w:rPr>
          <w:rFonts w:cs="Times New Roman" w:ascii="PT Astra Sans" w:hAnsi="PT Astra Sans"/>
          <w:b w:val="false"/>
          <w:sz w:val="24"/>
          <w:szCs w:val="24"/>
        </w:rPr>
        <w:t>Красносельского муниципального района  Костромской области»</w:t>
      </w:r>
    </w:p>
    <w:p>
      <w:pPr>
        <w:pStyle w:val="Normal"/>
        <w:spacing w:lineRule="auto" w:line="240" w:before="0" w:after="0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PT Astra Sans" w:hAnsi="PT Astra Sans" w:cs="Times New Roman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PT Astra Sans" w:hAnsi="PT Astra Sans"/>
          <w:sz w:val="24"/>
          <w:szCs w:val="24"/>
        </w:rPr>
        <w:t>ПЛАН МЕРОПРИЯТИЙ</w:t>
      </w:r>
    </w:p>
    <w:p>
      <w:pPr>
        <w:pStyle w:val="Normal"/>
        <w:spacing w:lineRule="auto" w:line="240" w:before="0" w:after="0"/>
        <w:jc w:val="center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 xml:space="preserve">реализации муниципальной программы «Обеспечение молниезащиты территории </w:t>
      </w:r>
      <w:r>
        <w:rPr>
          <w:rFonts w:cs="Times New Roman" w:ascii="PT Astra Sans" w:hAnsi="PT Astra Sans"/>
          <w:b w:val="false"/>
          <w:sz w:val="24"/>
          <w:szCs w:val="24"/>
        </w:rPr>
        <w:t>Красносельского муниципального района  Костромской области</w:t>
      </w:r>
    </w:p>
    <w:p>
      <w:pPr>
        <w:pStyle w:val="Normal"/>
        <w:spacing w:lineRule="auto" w:line="240" w:before="0" w:after="0"/>
        <w:jc w:val="center"/>
        <w:rPr>
          <w:rFonts w:ascii="PT Astra Sans" w:hAnsi="PT Astra Sans" w:cs="Times New Roman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PT Astra Sans" w:hAnsi="PT Astra Sans" w:cs="Times New Roman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</w:r>
    </w:p>
    <w:tbl>
      <w:tblPr>
        <w:tblW w:w="15272" w:type="dxa"/>
        <w:jc w:val="left"/>
        <w:tblInd w:w="7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462"/>
        <w:gridCol w:w="3253"/>
        <w:gridCol w:w="130"/>
        <w:gridCol w:w="2066"/>
        <w:gridCol w:w="1011"/>
        <w:gridCol w:w="26"/>
        <w:gridCol w:w="550"/>
        <w:gridCol w:w="15"/>
        <w:gridCol w:w="518"/>
        <w:gridCol w:w="6"/>
        <w:gridCol w:w="559"/>
        <w:gridCol w:w="2170"/>
        <w:gridCol w:w="2532"/>
        <w:gridCol w:w="1972"/>
      </w:tblGrid>
      <w:tr>
        <w:trPr/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п/п</w:t>
            </w:r>
          </w:p>
        </w:tc>
        <w:tc>
          <w:tcPr>
            <w:tcW w:w="33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077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Результат выполнения задачи</w:t>
            </w:r>
          </w:p>
        </w:tc>
        <w:tc>
          <w:tcPr>
            <w:tcW w:w="16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Срок исполнения</w:t>
            </w:r>
          </w:p>
        </w:tc>
        <w:tc>
          <w:tcPr>
            <w:tcW w:w="21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5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Участник мероприятия</w:t>
            </w:r>
          </w:p>
        </w:tc>
        <w:tc>
          <w:tcPr>
            <w:tcW w:w="19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Результат мероприятия</w:t>
            </w:r>
          </w:p>
        </w:tc>
      </w:tr>
      <w:tr>
        <w:trPr/>
        <w:tc>
          <w:tcPr>
            <w:tcW w:w="46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</w:r>
          </w:p>
        </w:tc>
        <w:tc>
          <w:tcPr>
            <w:tcW w:w="338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единица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измерения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плановое значение</w:t>
            </w:r>
          </w:p>
        </w:tc>
        <w:tc>
          <w:tcPr>
            <w:tcW w:w="576" w:type="dxa"/>
            <w:gridSpan w:val="2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2025 год</w:t>
            </w:r>
          </w:p>
        </w:tc>
        <w:tc>
          <w:tcPr>
            <w:tcW w:w="53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2026 год</w:t>
            </w:r>
          </w:p>
        </w:tc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2027 год</w:t>
            </w:r>
          </w:p>
        </w:tc>
        <w:tc>
          <w:tcPr>
            <w:tcW w:w="217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</w:r>
          </w:p>
        </w:tc>
        <w:tc>
          <w:tcPr>
            <w:tcW w:w="2532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</w:r>
          </w:p>
        </w:tc>
        <w:tc>
          <w:tcPr>
            <w:tcW w:w="1972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</w:r>
          </w:p>
        </w:tc>
      </w:tr>
      <w:tr>
        <w:trPr/>
        <w:tc>
          <w:tcPr>
            <w:tcW w:w="46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1</w:t>
            </w:r>
          </w:p>
        </w:tc>
        <w:tc>
          <w:tcPr>
            <w:tcW w:w="338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2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3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4</w:t>
            </w:r>
          </w:p>
        </w:tc>
        <w:tc>
          <w:tcPr>
            <w:tcW w:w="576" w:type="dxa"/>
            <w:gridSpan w:val="2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5</w:t>
            </w:r>
          </w:p>
        </w:tc>
        <w:tc>
          <w:tcPr>
            <w:tcW w:w="53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6</w:t>
            </w:r>
          </w:p>
        </w:tc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7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8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9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</w:r>
          </w:p>
        </w:tc>
        <w:tc>
          <w:tcPr>
            <w:tcW w:w="1480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288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tLeast" w:line="288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 xml:space="preserve">Раздел 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  <w:lang w:val="en-US"/>
              </w:rPr>
              <w:t>I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. Информационно-просветительская кампания</w:t>
            </w:r>
          </w:p>
          <w:p>
            <w:pPr>
              <w:pStyle w:val="Normal"/>
              <w:widowControl w:val="false"/>
              <w:spacing w:lineRule="atLeast" w:line="288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</w:r>
          </w:p>
        </w:tc>
      </w:tr>
      <w:tr>
        <w:trPr>
          <w:trHeight w:val="2593" w:hRule="atLeast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1.</w:t>
            </w:r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43" w:right="43" w:hanging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 xml:space="preserve">Информирование собственников зданий и сооружений, расположенных на территории </w:t>
            </w:r>
            <w:r>
              <w:rPr>
                <w:rFonts w:eastAsia="Times New Roman" w:cs="Times New Roman" w:ascii="PT Astra Sans" w:hAnsi="PT Astra Sans"/>
                <w:b w:val="false"/>
                <w:sz w:val="24"/>
                <w:szCs w:val="24"/>
              </w:rPr>
              <w:t>Красносельского муниципального района  Костромской области</w:t>
            </w:r>
            <w:r>
              <w:rPr>
                <w:rFonts w:cs="Times New Roman" w:ascii="PT Astra Sans" w:hAnsi="PT Astra Sans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о способах защиты зданий и сооружений от воздействия молнии</w:t>
            </w:r>
          </w:p>
        </w:tc>
        <w:tc>
          <w:tcPr>
            <w:tcW w:w="21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Мероприятие</w:t>
            </w:r>
          </w:p>
        </w:tc>
        <w:tc>
          <w:tcPr>
            <w:tcW w:w="10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1</w:t>
            </w:r>
          </w:p>
        </w:tc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1</w:t>
            </w:r>
          </w:p>
        </w:tc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1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88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Администрация</w:t>
            </w:r>
          </w:p>
          <w:p>
            <w:pPr>
              <w:pStyle w:val="ConsPlusTitle"/>
              <w:widowControl w:val="false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b w:val="false"/>
                <w:sz w:val="24"/>
                <w:szCs w:val="24"/>
              </w:rPr>
              <w:t>Красносельского муниципального района  Костромской области</w:t>
            </w:r>
          </w:p>
        </w:tc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88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 xml:space="preserve">Собственники зданий и сооружений, расположенных на территории </w:t>
            </w:r>
            <w:r>
              <w:rPr>
                <w:rFonts w:eastAsia="Times New Roman" w:cs="Times New Roman" w:ascii="PT Astra Sans" w:hAnsi="PT Astra Sans"/>
                <w:b w:val="false"/>
                <w:sz w:val="24"/>
                <w:szCs w:val="24"/>
              </w:rPr>
              <w:t>Красносельского муниципального района  Костромской области</w:t>
            </w:r>
          </w:p>
        </w:tc>
        <w:tc>
          <w:tcPr>
            <w:tcW w:w="1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88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Снижение количества зданий и сооружений, пострадавших при прохождении грозового фронта</w:t>
            </w:r>
          </w:p>
        </w:tc>
      </w:tr>
      <w:tr>
        <w:trPr>
          <w:trHeight w:val="160" w:hRule="atLeast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2.</w:t>
            </w:r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43" w:right="43" w:hanging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 xml:space="preserve">Размещение на официальном сайте администрации </w:t>
            </w:r>
            <w:r>
              <w:rPr>
                <w:rFonts w:eastAsia="Times New Roman" w:cs="Times New Roman" w:ascii="PT Astra Sans" w:hAnsi="PT Astra Sans"/>
                <w:b w:val="false"/>
                <w:sz w:val="24"/>
                <w:szCs w:val="24"/>
              </w:rPr>
              <w:t>Красносельского муниципального района  Костромской области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 xml:space="preserve">  информационных материалов (памяткок) о способах защиты зданий и сооружений от воздействия молнии</w:t>
            </w:r>
          </w:p>
        </w:tc>
        <w:tc>
          <w:tcPr>
            <w:tcW w:w="21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Мероприятие</w:t>
            </w:r>
          </w:p>
        </w:tc>
        <w:tc>
          <w:tcPr>
            <w:tcW w:w="10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1</w:t>
            </w:r>
          </w:p>
        </w:tc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1</w:t>
            </w:r>
          </w:p>
        </w:tc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1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288" w:before="0" w:after="0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</w:r>
          </w:p>
        </w:tc>
        <w:tc>
          <w:tcPr>
            <w:tcW w:w="253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288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</w:r>
          </w:p>
        </w:tc>
        <w:tc>
          <w:tcPr>
            <w:tcW w:w="19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288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</w:r>
          </w:p>
        </w:tc>
      </w:tr>
      <w:tr>
        <w:trPr/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</w:r>
          </w:p>
        </w:tc>
        <w:tc>
          <w:tcPr>
            <w:tcW w:w="1480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288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tLeast" w:line="288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 xml:space="preserve">Раздел 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  <w:lang w:val="en-US"/>
              </w:rPr>
              <w:t>II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. Организация обустройства системы молниезащиты зданий и сооружений</w:t>
            </w:r>
          </w:p>
          <w:p>
            <w:pPr>
              <w:pStyle w:val="Normal"/>
              <w:widowControl w:val="false"/>
              <w:spacing w:lineRule="atLeast" w:line="288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 xml:space="preserve">в населенных пунктах </w:t>
            </w:r>
            <w:r>
              <w:rPr>
                <w:rFonts w:eastAsia="Times New Roman" w:cs="Times New Roman" w:ascii="PT Astra Sans" w:hAnsi="PT Astra Sans"/>
                <w:b w:val="false"/>
                <w:sz w:val="24"/>
                <w:szCs w:val="24"/>
              </w:rPr>
              <w:t>Красносельского муниципального района  Костромской области</w:t>
            </w:r>
          </w:p>
          <w:p>
            <w:pPr>
              <w:pStyle w:val="Normal"/>
              <w:widowControl w:val="false"/>
              <w:spacing w:lineRule="atLeast" w:line="288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</w:r>
          </w:p>
        </w:tc>
      </w:tr>
      <w:tr>
        <w:trPr/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1.</w:t>
            </w:r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45" w:right="45" w:hanging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 xml:space="preserve">Обустройство системы молниезащиты муниципальных учреждений </w:t>
            </w:r>
            <w:r>
              <w:rPr>
                <w:rFonts w:eastAsia="Times New Roman" w:cs="Times New Roman" w:ascii="PT Astra Sans" w:hAnsi="PT Astra Sans"/>
                <w:b w:val="false"/>
                <w:sz w:val="24"/>
                <w:szCs w:val="24"/>
              </w:rPr>
              <w:t>Красносельского муниципального района  Костромской области</w:t>
            </w:r>
          </w:p>
        </w:tc>
        <w:tc>
          <w:tcPr>
            <w:tcW w:w="21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Здание</w:t>
            </w:r>
          </w:p>
        </w:tc>
        <w:tc>
          <w:tcPr>
            <w:tcW w:w="10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3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6</w:t>
            </w:r>
          </w:p>
        </w:tc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5</w:t>
            </w:r>
          </w:p>
        </w:tc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1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6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1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5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8" w:before="0" w:after="0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cs="Times New Roman" w:ascii="PT Astra Sans" w:hAnsi="PT Astra Sans"/>
                <w:sz w:val="24"/>
                <w:szCs w:val="24"/>
              </w:rPr>
              <w:t>Администрация</w:t>
            </w:r>
          </w:p>
          <w:p>
            <w:pPr>
              <w:pStyle w:val="ConsPlusTitle"/>
              <w:widowControl w:val="false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cs="Times New Roman" w:ascii="PT Astra Sans" w:hAnsi="PT Astra Sans"/>
                <w:b w:val="false"/>
                <w:sz w:val="24"/>
                <w:szCs w:val="24"/>
              </w:rPr>
              <w:t>Красносельского муниципального района  Костромской области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8" w:before="0" w:after="0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cs="Times New Roman" w:ascii="PT Astra Sans" w:hAnsi="PT Astra Sans"/>
                <w:sz w:val="24"/>
                <w:szCs w:val="24"/>
              </w:rPr>
              <w:t>Администрация</w:t>
            </w:r>
          </w:p>
          <w:p>
            <w:pPr>
              <w:pStyle w:val="ConsPlusTitle"/>
              <w:widowControl w:val="false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b w:val="false"/>
                <w:sz w:val="24"/>
                <w:szCs w:val="24"/>
              </w:rPr>
              <w:t>Красносельского муниципального района  Костромской области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Защита зданий от  грозового разряда</w:t>
            </w:r>
          </w:p>
        </w:tc>
      </w:tr>
      <w:tr>
        <w:trPr/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2.</w:t>
            </w:r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45" w:right="45" w:hanging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 xml:space="preserve">Обустройство, ремонт систем молниезащиты многоквартирных домов, расположенных на территории </w:t>
            </w:r>
            <w:r>
              <w:rPr>
                <w:rFonts w:eastAsia="Times New Roman" w:cs="Times New Roman" w:ascii="PT Astra Sans" w:hAnsi="PT Astra Sans"/>
                <w:b w:val="false"/>
                <w:sz w:val="24"/>
                <w:szCs w:val="24"/>
              </w:rPr>
              <w:t>Красносельского муниципального района  Костромской области</w:t>
            </w:r>
          </w:p>
        </w:tc>
        <w:tc>
          <w:tcPr>
            <w:tcW w:w="21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Многоквартирный дом</w:t>
            </w:r>
          </w:p>
        </w:tc>
        <w:tc>
          <w:tcPr>
            <w:tcW w:w="10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4</w:t>
            </w:r>
          </w:p>
        </w:tc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2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8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 xml:space="preserve">Собственники помещений многоквартирных домов, расположенных на территории </w:t>
            </w:r>
            <w:r>
              <w:rPr>
                <w:rFonts w:eastAsia="Times New Roman" w:cs="Times New Roman" w:ascii="PT Astra Sans" w:hAnsi="PT Astra Sans"/>
                <w:b w:val="false"/>
                <w:sz w:val="24"/>
                <w:szCs w:val="24"/>
              </w:rPr>
              <w:t>Красносельского муниципального района  Костромской области,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 xml:space="preserve"> управляющие многоквартирными домами организации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8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 xml:space="preserve">Собственники помещений многоквартирных домов, расположенных на территории </w:t>
            </w:r>
            <w:r>
              <w:rPr>
                <w:rFonts w:eastAsia="Times New Roman" w:cs="Times New Roman" w:ascii="PT Astra Sans" w:hAnsi="PT Astra Sans"/>
                <w:b w:val="false"/>
                <w:sz w:val="24"/>
                <w:szCs w:val="24"/>
              </w:rPr>
              <w:t>Красносельского муниципального района  Костромской области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, управляющие многоквартирными домами организации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</w:rPr>
              <w:t>Защита многоквартирных домов от  грозового разряда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PT Astra Sans" w:hAnsi="PT Astra Sans" w:cs="Times New Roman"/>
          <w:sz w:val="24"/>
          <w:szCs w:val="24"/>
        </w:rPr>
      </w:pPr>
      <w:r>
        <w:rPr/>
      </w:r>
    </w:p>
    <w:sectPr>
      <w:headerReference w:type="default" r:id="rId4"/>
      <w:headerReference w:type="first" r:id="rId5"/>
      <w:type w:val="nextPage"/>
      <w:pgSz w:orient="landscape" w:w="16838" w:h="11906"/>
      <w:pgMar w:left="1134" w:right="1134" w:gutter="0" w:header="709" w:top="1559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Segoe UI">
    <w:charset w:val="01"/>
    <w:family w:val="roman"/>
    <w:pitch w:val="default"/>
  </w:font>
  <w:font w:name="PT Astra Sans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6"/>
      <w:jc w:val="center"/>
      <w:rPr>
        <w:rFonts w:ascii="Times New Roman" w:hAnsi="Times New Roman" w:cs="Times New Roman"/>
        <w:sz w:val="20"/>
        <w:szCs w:val="20"/>
      </w:rPr>
    </w:pPr>
    <w:r>
      <w:rPr>
        <w:rFonts w:cs="Times New Roman" w:ascii="Times New Roman" w:hAnsi="Times New Roman"/>
        <w:sz w:val="20"/>
        <w:szCs w:val="20"/>
      </w:rPr>
      <w:fldChar w:fldCharType="begin"/>
    </w:r>
    <w:r>
      <w:rPr>
        <w:sz w:val="20"/>
        <w:szCs w:val="20"/>
        <w:rFonts w:cs="Times New Roman" w:ascii="Times New Roman" w:hAnsi="Times New Roman"/>
      </w:rPr>
      <w:instrText xml:space="preserve"> PAGE </w:instrText>
    </w:r>
    <w:r>
      <w:rPr>
        <w:sz w:val="20"/>
        <w:szCs w:val="20"/>
        <w:rFonts w:cs="Times New Roman" w:ascii="Times New Roman" w:hAnsi="Times New Roman"/>
      </w:rPr>
      <w:fldChar w:fldCharType="separate"/>
    </w:r>
    <w:r>
      <w:rPr>
        <w:sz w:val="20"/>
        <w:szCs w:val="20"/>
        <w:rFonts w:cs="Times New Roman" w:ascii="Times New Roman" w:hAnsi="Times New Roman"/>
      </w:rPr>
      <w:t>3</w:t>
    </w:r>
    <w:r>
      <w:rPr>
        <w:sz w:val="20"/>
        <w:szCs w:val="20"/>
        <w:rFonts w:cs="Times New Roman" w:ascii="Times New Roman" w:hAnsi="Times New Roman"/>
      </w:rPr>
      <w:fldChar w:fldCharType="end"/>
    </w:r>
  </w:p>
  <w:p>
    <w:pPr>
      <w:pStyle w:val="Style26"/>
      <w:rPr>
        <w:rFonts w:ascii="Times New Roman" w:hAnsi="Times New Roman" w:cs="Times New Roman"/>
        <w:sz w:val="20"/>
        <w:szCs w:val="20"/>
      </w:rPr>
    </w:pPr>
    <w:r>
      <w:rPr>
        <w:rFonts w:cs="Times New Roman" w:ascii="Times New Roman" w:hAnsi="Times New Roman"/>
        <w:sz w:val="20"/>
        <w:szCs w:val="2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6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6"/>
      <w:jc w:val="center"/>
      <w:rPr>
        <w:rFonts w:ascii="Times New Roman" w:hAnsi="Times New Roman" w:cs="Times New Roman"/>
        <w:sz w:val="20"/>
        <w:szCs w:val="20"/>
      </w:rPr>
    </w:pPr>
    <w:r>
      <w:rPr>
        <w:rFonts w:cs="Times New Roman" w:ascii="Times New Roman" w:hAnsi="Times New Roman"/>
        <w:sz w:val="20"/>
        <w:szCs w:val="20"/>
      </w:rPr>
    </w:r>
  </w:p>
  <w:p>
    <w:pPr>
      <w:pStyle w:val="Style26"/>
      <w:rPr>
        <w:rFonts w:ascii="Times New Roman" w:hAnsi="Times New Roman" w:cs="Times New Roman"/>
        <w:sz w:val="20"/>
        <w:szCs w:val="20"/>
      </w:rPr>
    </w:pPr>
    <w:r>
      <w:rPr>
        <w:rFonts w:cs="Times New Roman" w:ascii="Times New Roman" w:hAnsi="Times New Roman"/>
        <w:sz w:val="20"/>
        <w:szCs w:val="20"/>
      </w:rPr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Arial" w:cs="Times New Roman"/>
      <w:color w:val="auto"/>
      <w:kern w:val="0"/>
      <w:sz w:val="22"/>
      <w:szCs w:val="22"/>
      <w:lang w:val="ru-RU" w:eastAsia="zh-CN" w:bidi="ar-SA"/>
    </w:rPr>
  </w:style>
  <w:style w:type="paragraph" w:styleId="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next w:val="Normal"/>
    <w:qFormat/>
    <w:pPr>
      <w:keepNext w:val="true"/>
      <w:keepLines/>
      <w:numPr>
        <w:ilvl w:val="1"/>
        <w:numId w:val="1"/>
      </w:numPr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next w:val="Normal"/>
    <w:qFormat/>
    <w:pPr>
      <w:keepNext w:val="true"/>
      <w:keepLines/>
      <w:numPr>
        <w:ilvl w:val="2"/>
        <w:numId w:val="1"/>
      </w:numPr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next w:val="Normal"/>
    <w:qFormat/>
    <w:pPr>
      <w:keepNext w:val="true"/>
      <w:keepLines/>
      <w:numPr>
        <w:ilvl w:val="3"/>
        <w:numId w:val="1"/>
      </w:numPr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next w:val="Normal"/>
    <w:qFormat/>
    <w:pPr>
      <w:keepNext w:val="true"/>
      <w:keepLines/>
      <w:numPr>
        <w:ilvl w:val="4"/>
        <w:numId w:val="1"/>
      </w:numPr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next w:val="Normal"/>
    <w:qFormat/>
    <w:pPr>
      <w:keepNext w:val="true"/>
      <w:keepLines/>
      <w:numPr>
        <w:ilvl w:val="5"/>
        <w:numId w:val="1"/>
      </w:numPr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">
    <w:name w:val="Heading 7"/>
    <w:basedOn w:val="Normal"/>
    <w:next w:val="Normal"/>
    <w:qFormat/>
    <w:pPr>
      <w:keepNext w:val="true"/>
      <w:keepLines/>
      <w:numPr>
        <w:ilvl w:val="6"/>
        <w:numId w:val="1"/>
      </w:numPr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8">
    <w:name w:val="Heading 8"/>
    <w:basedOn w:val="Normal"/>
    <w:next w:val="Normal"/>
    <w:qFormat/>
    <w:pPr>
      <w:keepNext w:val="true"/>
      <w:keepLines/>
      <w:numPr>
        <w:ilvl w:val="7"/>
        <w:numId w:val="1"/>
      </w:numPr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9">
    <w:name w:val="Heading 9"/>
    <w:basedOn w:val="Normal"/>
    <w:next w:val="Normal"/>
    <w:qFormat/>
    <w:pPr>
      <w:keepNext w:val="true"/>
      <w:keepLines/>
      <w:numPr>
        <w:ilvl w:val="8"/>
        <w:numId w:val="1"/>
      </w:numPr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Style5">
    <w:name w:val="Основной шрифт абзаца"/>
    <w:qFormat/>
    <w:rPr/>
  </w:style>
  <w:style w:type="character" w:styleId="Heading1Char">
    <w:name w:val="Heading 1 Char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Heading3Char">
    <w:name w:val="Heading 3 Char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qFormat/>
    <w:rPr>
      <w:sz w:val="48"/>
      <w:szCs w:val="48"/>
    </w:rPr>
  </w:style>
  <w:style w:type="character" w:styleId="SubtitleChar">
    <w:name w:val="Subtitle Char"/>
    <w:qFormat/>
    <w:rPr>
      <w:sz w:val="24"/>
      <w:szCs w:val="24"/>
    </w:rPr>
  </w:style>
  <w:style w:type="character" w:styleId="QuoteChar">
    <w:name w:val="Quote Char"/>
    <w:qFormat/>
    <w:rPr>
      <w:i/>
    </w:rPr>
  </w:style>
  <w:style w:type="character" w:styleId="IntenseQuoteChar">
    <w:name w:val="Intense Quote Char"/>
    <w:qFormat/>
    <w:rPr>
      <w:i/>
    </w:rPr>
  </w:style>
  <w:style w:type="character" w:styleId="HeaderChar">
    <w:name w:val="Header Char"/>
    <w:basedOn w:val="Style5"/>
    <w:qFormat/>
    <w:rPr/>
  </w:style>
  <w:style w:type="character" w:styleId="CaptionChar">
    <w:name w:val="Caption Char"/>
    <w:qFormat/>
    <w:rPr/>
  </w:style>
  <w:style w:type="character" w:styleId="FootnoteTextChar">
    <w:name w:val="Footnote Text Char"/>
    <w:qFormat/>
    <w:rPr>
      <w:sz w:val="18"/>
    </w:rPr>
  </w:style>
  <w:style w:type="character" w:styleId="EndnoteTextChar">
    <w:name w:val="Endnote Text Char"/>
    <w:qFormat/>
    <w:rPr>
      <w:sz w:val="20"/>
    </w:rPr>
  </w:style>
  <w:style w:type="character" w:styleId="11">
    <w:name w:val="Заголовок 1 Знак"/>
    <w:qFormat/>
    <w:rPr>
      <w:rFonts w:ascii="Arial" w:hAnsi="Arial" w:eastAsia="Arial" w:cs="Arial"/>
      <w:sz w:val="40"/>
      <w:szCs w:val="40"/>
    </w:rPr>
  </w:style>
  <w:style w:type="character" w:styleId="21">
    <w:name w:val="Заголовок 2 Знак"/>
    <w:qFormat/>
    <w:rPr>
      <w:rFonts w:ascii="Arial" w:hAnsi="Arial" w:eastAsia="Arial" w:cs="Arial"/>
      <w:sz w:val="34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1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1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1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1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1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Style6">
    <w:name w:val="Название Знак"/>
    <w:qFormat/>
    <w:rPr>
      <w:sz w:val="48"/>
      <w:szCs w:val="48"/>
    </w:rPr>
  </w:style>
  <w:style w:type="character" w:styleId="Style7">
    <w:name w:val="Подзаголовок Знак"/>
    <w:qFormat/>
    <w:rPr>
      <w:sz w:val="24"/>
      <w:szCs w:val="24"/>
    </w:rPr>
  </w:style>
  <w:style w:type="character" w:styleId="22">
    <w:name w:val="Цитата 2 Знак"/>
    <w:qFormat/>
    <w:rPr>
      <w:i/>
    </w:rPr>
  </w:style>
  <w:style w:type="character" w:styleId="Style8">
    <w:name w:val="Выделенная цитата Знак"/>
    <w:qFormat/>
    <w:rPr>
      <w:i/>
    </w:rPr>
  </w:style>
  <w:style w:type="character" w:styleId="Style9">
    <w:name w:val="Верхний колонтитул Знак"/>
    <w:basedOn w:val="Style5"/>
    <w:qFormat/>
    <w:rPr/>
  </w:style>
  <w:style w:type="character" w:styleId="FooterChar">
    <w:name w:val="Footer Char"/>
    <w:basedOn w:val="Style5"/>
    <w:qFormat/>
    <w:rPr/>
  </w:style>
  <w:style w:type="character" w:styleId="Style10">
    <w:name w:val="Нижний колонтитул Знак"/>
    <w:qFormat/>
    <w:rPr/>
  </w:style>
  <w:style w:type="character" w:styleId="-">
    <w:name w:val="Hyperlink"/>
    <w:rPr>
      <w:color w:val="0563C1"/>
      <w:u w:val="single"/>
    </w:rPr>
  </w:style>
  <w:style w:type="character" w:styleId="Style11">
    <w:name w:val="Текст сноски Знак"/>
    <w:qFormat/>
    <w:rPr>
      <w:sz w:val="18"/>
    </w:rPr>
  </w:style>
  <w:style w:type="character" w:styleId="Style12">
    <w:name w:val="Символ сноски"/>
    <w:qFormat/>
    <w:rPr>
      <w:vertAlign w:val="superscript"/>
    </w:rPr>
  </w:style>
  <w:style w:type="character" w:styleId="Style13">
    <w:name w:val="Текст концевой сноски Знак"/>
    <w:qFormat/>
    <w:rPr>
      <w:sz w:val="20"/>
    </w:rPr>
  </w:style>
  <w:style w:type="character" w:styleId="Style14">
    <w:name w:val="Символ концевой сноски"/>
    <w:qFormat/>
    <w:rPr>
      <w:vertAlign w:val="superscript"/>
    </w:rPr>
  </w:style>
  <w:style w:type="character" w:styleId="Style15">
    <w:name w:val="Текст выноски Знак"/>
    <w:qFormat/>
    <w:rPr>
      <w:rFonts w:ascii="Segoe UI" w:hAnsi="Segoe UI" w:eastAsia="Arial" w:cs="Segoe UI"/>
      <w:sz w:val="18"/>
      <w:szCs w:val="18"/>
    </w:rPr>
  </w:style>
  <w:style w:type="paragraph" w:styleId="Style16">
    <w:name w:val="Заголовок"/>
    <w:basedOn w:val="Normal"/>
    <w:next w:val="Normal"/>
    <w:qFormat/>
    <w:pPr>
      <w:spacing w:before="300" w:after="200"/>
      <w:contextualSpacing/>
    </w:pPr>
    <w:rPr>
      <w:sz w:val="48"/>
      <w:szCs w:val="4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Times New Roman" w:hAnsi="Times New Roman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Times New Roman" w:hAnsi="Times New Roman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Times New Roman" w:hAnsi="Times New Roman" w:cs="Noto Sans Devanagari"/>
    </w:rPr>
  </w:style>
  <w:style w:type="paragraph" w:styleId="Style21">
    <w:name w:val="Абзац списка"/>
    <w:basedOn w:val="Normal"/>
    <w:qFormat/>
    <w:pPr>
      <w:spacing w:before="0" w:after="160"/>
      <w:ind w:left="720" w:hanging="0"/>
      <w:contextualSpacing/>
    </w:pPr>
    <w:rPr/>
  </w:style>
  <w:style w:type="paragraph" w:styleId="Style22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paragraph" w:styleId="Style23">
    <w:name w:val="Subtitle"/>
    <w:basedOn w:val="Normal"/>
    <w:next w:val="Normal"/>
    <w:qFormat/>
    <w:pPr>
      <w:spacing w:before="200" w:after="200"/>
    </w:pPr>
    <w:rPr>
      <w:sz w:val="24"/>
      <w:szCs w:val="24"/>
    </w:rPr>
  </w:style>
  <w:style w:type="paragraph" w:styleId="23">
    <w:name w:val="Цитата 2"/>
    <w:basedOn w:val="Normal"/>
    <w:next w:val="Normal"/>
    <w:qFormat/>
    <w:pPr>
      <w:ind w:left="720" w:right="720" w:hanging="0"/>
    </w:pPr>
    <w:rPr>
      <w:i/>
    </w:rPr>
  </w:style>
  <w:style w:type="paragraph" w:styleId="Style24">
    <w:name w:val="Выделенная цитата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fill="F2F2F2"/>
      <w:ind w:left="720" w:right="720" w:hanging="0"/>
    </w:pPr>
    <w:rPr>
      <w:i/>
    </w:rPr>
  </w:style>
  <w:style w:type="paragraph" w:styleId="Style25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6">
    <w:name w:val="Header"/>
    <w:basedOn w:val="Normal"/>
    <w:pPr>
      <w:spacing w:lineRule="auto" w:line="240" w:before="0" w:after="0"/>
    </w:pPr>
    <w:rPr/>
  </w:style>
  <w:style w:type="paragraph" w:styleId="Style27">
    <w:name w:val="Footer"/>
    <w:basedOn w:val="Normal"/>
    <w:pPr>
      <w:spacing w:lineRule="auto" w:line="240" w:before="0" w:after="0"/>
    </w:pPr>
    <w:rPr/>
  </w:style>
  <w:style w:type="paragraph" w:styleId="Style28">
    <w:name w:val="Название объекта"/>
    <w:basedOn w:val="Normal"/>
    <w:next w:val="Normal"/>
    <w:qFormat/>
    <w:pPr>
      <w:spacing w:lineRule="auto" w:line="276"/>
    </w:pPr>
    <w:rPr>
      <w:b/>
      <w:bCs/>
      <w:color w:val="5B9BD5"/>
      <w:sz w:val="18"/>
      <w:szCs w:val="18"/>
    </w:rPr>
  </w:style>
  <w:style w:type="paragraph" w:styleId="Style29">
    <w:name w:val="Footnote Text"/>
    <w:basedOn w:val="Normal"/>
    <w:pPr>
      <w:spacing w:lineRule="auto" w:line="240" w:before="0" w:after="40"/>
    </w:pPr>
    <w:rPr>
      <w:sz w:val="18"/>
    </w:rPr>
  </w:style>
  <w:style w:type="paragraph" w:styleId="Style30">
    <w:name w:val="Endnote Text"/>
    <w:basedOn w:val="Normal"/>
    <w:pPr>
      <w:spacing w:lineRule="auto" w:line="240" w:before="0" w:after="0"/>
    </w:pPr>
    <w:rPr>
      <w:sz w:val="20"/>
    </w:rPr>
  </w:style>
  <w:style w:type="paragraph" w:styleId="12">
    <w:name w:val="TOC 1"/>
    <w:basedOn w:val="Normal"/>
    <w:next w:val="Normal"/>
    <w:pPr>
      <w:spacing w:before="0" w:after="57"/>
    </w:pPr>
    <w:rPr/>
  </w:style>
  <w:style w:type="paragraph" w:styleId="24">
    <w:name w:val="TOC 2"/>
    <w:basedOn w:val="Normal"/>
    <w:next w:val="Normal"/>
    <w:pPr>
      <w:spacing w:before="0" w:after="57"/>
      <w:ind w:left="283" w:hanging="0"/>
    </w:pPr>
    <w:rPr/>
  </w:style>
  <w:style w:type="paragraph" w:styleId="32">
    <w:name w:val="TOC 3"/>
    <w:basedOn w:val="Normal"/>
    <w:next w:val="Normal"/>
    <w:pPr>
      <w:spacing w:before="0" w:after="57"/>
      <w:ind w:left="567" w:hanging="0"/>
    </w:pPr>
    <w:rPr/>
  </w:style>
  <w:style w:type="paragraph" w:styleId="42">
    <w:name w:val="TOC 4"/>
    <w:basedOn w:val="Normal"/>
    <w:next w:val="Normal"/>
    <w:pPr>
      <w:spacing w:before="0" w:after="57"/>
      <w:ind w:left="850" w:hanging="0"/>
    </w:pPr>
    <w:rPr/>
  </w:style>
  <w:style w:type="paragraph" w:styleId="52">
    <w:name w:val="TOC 5"/>
    <w:basedOn w:val="Normal"/>
    <w:next w:val="Normal"/>
    <w:pPr>
      <w:spacing w:before="0" w:after="57"/>
      <w:ind w:left="1134" w:hanging="0"/>
    </w:pPr>
    <w:rPr/>
  </w:style>
  <w:style w:type="paragraph" w:styleId="62">
    <w:name w:val="TOC 6"/>
    <w:basedOn w:val="Normal"/>
    <w:next w:val="Normal"/>
    <w:pPr>
      <w:spacing w:before="0" w:after="57"/>
      <w:ind w:left="1417" w:hanging="0"/>
    </w:pPr>
    <w:rPr/>
  </w:style>
  <w:style w:type="paragraph" w:styleId="72">
    <w:name w:val="TOC 7"/>
    <w:basedOn w:val="Normal"/>
    <w:next w:val="Normal"/>
    <w:pPr>
      <w:spacing w:before="0" w:after="57"/>
      <w:ind w:left="1701" w:hanging="0"/>
    </w:pPr>
    <w:rPr/>
  </w:style>
  <w:style w:type="paragraph" w:styleId="82">
    <w:name w:val="TOC 8"/>
    <w:basedOn w:val="Normal"/>
    <w:next w:val="Normal"/>
    <w:pPr>
      <w:spacing w:before="0" w:after="57"/>
      <w:ind w:left="1984" w:hanging="0"/>
    </w:pPr>
    <w:rPr/>
  </w:style>
  <w:style w:type="paragraph" w:styleId="92">
    <w:name w:val="TOC 9"/>
    <w:basedOn w:val="Normal"/>
    <w:next w:val="Normal"/>
    <w:pPr>
      <w:spacing w:before="0" w:after="57"/>
      <w:ind w:left="2268" w:hanging="0"/>
    </w:pPr>
    <w:rPr/>
  </w:style>
  <w:style w:type="paragraph" w:styleId="Style31">
    <w:name w:val="Index Heading"/>
    <w:basedOn w:val="Style16"/>
    <w:pPr>
      <w:suppressLineNumbers/>
      <w:ind w:left="0" w:hanging="0"/>
    </w:pPr>
    <w:rPr>
      <w:b/>
      <w:bCs/>
      <w:sz w:val="32"/>
      <w:szCs w:val="32"/>
    </w:rPr>
  </w:style>
  <w:style w:type="paragraph" w:styleId="Style32">
    <w:name w:val="TOC Heading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paragraph" w:styleId="Style33">
    <w:name w:val="Перечень рисунков"/>
    <w:basedOn w:val="Normal"/>
    <w:next w:val="Normal"/>
    <w:qFormat/>
    <w:pPr>
      <w:spacing w:before="0" w:after="0"/>
    </w:pPr>
    <w:rPr/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ru-RU" w:eastAsia="zh-CN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Arial"/>
      <w:b/>
      <w:bCs/>
      <w:color w:val="auto"/>
      <w:kern w:val="0"/>
      <w:sz w:val="24"/>
      <w:szCs w:val="24"/>
      <w:lang w:val="ru-RU" w:eastAsia="zh-CN" w:bidi="ar-SA"/>
    </w:rPr>
  </w:style>
  <w:style w:type="paragraph" w:styleId="Style34">
    <w:name w:val="Текст выноски"/>
    <w:basedOn w:val="Normal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35">
    <w:name w:val="Обычный (веб)"/>
    <w:basedOn w:val="Normal"/>
    <w:qFormat/>
    <w:pPr/>
    <w:rPr>
      <w:rFonts w:ascii="Times New Roman" w:hAnsi="Times New Roman" w:cs="Times New Roman"/>
      <w:sz w:val="24"/>
      <w:szCs w:val="24"/>
    </w:rPr>
  </w:style>
  <w:style w:type="paragraph" w:styleId="Style36">
    <w:name w:val="Содержимое таблицы"/>
    <w:basedOn w:val="Normal"/>
    <w:qFormat/>
    <w:pPr>
      <w:widowControl w:val="false"/>
      <w:suppressLineNumbers/>
    </w:pPr>
    <w:rPr/>
  </w:style>
  <w:style w:type="paragraph" w:styleId="Style37">
    <w:name w:val="Заголовок таблицы"/>
    <w:basedOn w:val="Style36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17</TotalTime>
  <Application>LibreOffice/7.5.2.1$Linux_X86_64 LibreOffice_project/50$Build-1</Application>
  <AppVersion>15.0000</AppVersion>
  <Pages>5</Pages>
  <Words>1009</Words>
  <Characters>8179</Characters>
  <CharactersWithSpaces>9111</CharactersWithSpaces>
  <Paragraphs>135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2025-08-25T11:14:00Z</dcterms:created>
  <dc:creator>природных ресурсов Департамент</dc:creator>
  <dc:description/>
  <dc:language>ru-RU</dc:language>
  <cp:lastModifiedBy/>
  <cp:lastPrinted>2025-09-18T16:23:01Z</cp:lastPrinted>
  <dcterms:modified xsi:type="dcterms:W3CDTF">2025-09-18T16:22:51Z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